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BK_H 158/04 vom 28. Oktober 2004</w:t>
      </w:r>
    </w:p>
    <w:p>
      <w:r>
        <w:t>Bundesstrafgericht, 2004-10-28, DE</w:t>
      </w:r>
    </w:p>
    <w:p>
      <w:r>
        <w:rPr>
          <w:b/>
        </w:rPr>
        <w:t xml:space="preserve">Quelle: </w:t>
      </w:r>
      <w:r>
        <w:t>https://mcp.opencaselaw.ch/entscheid/bstger_BK_H 158_04</w:t>
      </w:r>
    </w:p>
    <w:p>
      <w:r>
        <w:t>FR: TPF BK_H 158/04 du 28 octobre 2004</w:t>
      </w:r>
    </w:p>
    <w:p>
      <w:r>
        <w:t>IT: TPF BK_H 158/04 del 28 ottobre 2004</w:t>
      </w:r>
    </w:p>
    <w:p>
      <w:pPr>
        <w:pStyle w:val="Heading2"/>
      </w:pPr>
      <w:r>
        <w:t>Regeste</w:t>
      </w:r>
    </w:p>
    <w:p>
      <w:r>
        <w:t>Beschwerde gegen die Ablehnung eines Haftentlassungsgesuchs (Art. 52 Abs. 2 BStP)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Juli 2004 den Haftbefehl gegen den Beschwerdeführer mangels kon- kreter Anhaltspunkte aufhob, obwohl er schwerwiegende Verdachtsmo- mente für organisierten Schmuggel („associazione per delinquere finalizza- ta all’importazione di contrabbando“) für gegeben hielt, und dieser Ent- scheid von der Appellationsinstanz des Tribunale di Napoli am 28. Sep- tember 2004 bestätigt wurde (Beilagen 2 und 3 zur Beschwerdereplik vom</w:t>
      </w:r>
    </w:p>
    <w:p>
      <w:r>
        <w:rPr>
          <w:b/>
        </w:rPr>
        <w:t>E. 15</w:t>
      </w:r>
    </w:p>
    <w:p>
      <w:r>
        <w:t>Oktober 2004); – dass damit der dringende Fluchtverdacht gemäss Art. 44 Ziff. 1 BStP anzu- nehmen ist; – dass der Beschwerdeführer durch sein äusserst defensives und wider- sprüchliches Aussageverhalten den Zeitpunkt, in welchem die Kollusions- gefahr als gebannt gelten kann, selber hinausschiebt, und damit, zumindest vorläufig, auch der Haftgrund der Kollusionsgefahr gemäss Art. 44 Ziff. 2 BStP gegeben ist; – dass in Anbetracht der abzuklärenden Delikte einerseits sowie aufgrund der im Falle eines Schuldspruchs zu erwartenden Freiheitsstrafe anderer- seits auch längere Untersuchungshaft ohne weiteres verhältnismässig ist; – dass die Ersatzmassnahme einer Kaution von Fr. 100'000.-- angesichts der vom Beschwerdeführer behaupteten Einkommens- und Vermögensverhält- nisse (Einvernahme des Beschwerdeführers vom 9. September 2004, S. 10; Einvernahme des Beschwerdeführers vom 16. September 2004, S. 7) als völlig unzureichend zu erachten wäre, falls eine solche Ersatz- massnahme überhaupt in Betracht gezogen würde; – dass die Kosten für das Beschwerdeverfahren gestützt auf Art. 245 BStP i.V.m. Art. 146 – 161 OG festzusetzen und zu verlegen bzw. gestützt auf das Reglement über die Entschädigung in Verfahren vor dem Bundesstraf- gericht vom 11. Februar 2004 (SR 173.711.31) und das Reglement über</w:t>
      </w:r>
    </w:p>
    <w:p>
      <w:r>
        <w:t>- 5 -</w:t>
      </w:r>
    </w:p>
    <w:p>
      <w:r>
        <w:t>die Gerichtsgebühren vor dem Bundesstrafgericht vom 11. Februar 2004 (SR 173.711.32) zu bemessen sind; – dass der vorliegenden Sache eine Gerichtsgebühr von Fr. 1'000.-- ange- messen ist,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